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Forte" w:eastAsia="Times New Roman" w:hAnsi="Forte" w:cs="Times New Roman"/>
          <w:color w:val="943634"/>
          <w:sz w:val="56"/>
          <w:szCs w:val="56"/>
        </w:rPr>
        <w:t>Attorney’s Corner-Legal Tip of the Month</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color w:val="943634"/>
          <w:sz w:val="40"/>
          <w:szCs w:val="40"/>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40"/>
          <w:szCs w:val="40"/>
        </w:rPr>
        <w:t xml:space="preserve">             </w:t>
      </w:r>
      <w:r w:rsidRPr="00D204ED">
        <w:rPr>
          <w:rFonts w:ascii="Times New Roman" w:eastAsia="Times New Roman" w:hAnsi="Times New Roman" w:cs="Times New Roman"/>
          <w:b/>
          <w:bCs/>
          <w:sz w:val="40"/>
          <w:szCs w:val="40"/>
        </w:rPr>
        <w:t xml:space="preserve">How the Probate Process Can Affect Your Closing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Forte" w:eastAsia="Times New Roman" w:hAnsi="Forte" w:cs="Times New Roman"/>
          <w:color w:val="943634"/>
          <w:sz w:val="40"/>
          <w:szCs w:val="40"/>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Sell real estate long enough and you will inevitably run into a situation involving a deceased seller. While this is not deal killer, it can often delay a closing or cause last minute scrambles if this is missed or discovered late in the closing process. Understanding how assets transfer between deceased sellers and their survivors and how the probate process works, is imperative to having a smooth closing process.</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t>How was title to the property held?</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One of the many questions you need to ask when having your listing “interview” is “How was/is the title to the property held?” This will reveal to you whether or not you have the ability to list and sell the property. When dealing with the surviving spouse, find out if the sellers owned the property as “joint tenants with rights of survivorship” or “tenants in common.” Most sellers are not going to know the difference between the two much less which way they held title. Because of this, trust what they say but verify and research the most recent vesting deed to the property to confirm how title is actually held.</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“Tenants in common” or “TIC” is the default way 2 or more people to take title. There must be an action taken by the closing attorney or the owner to make sure the title is taken as “joint tenants with rights of survivorship.” Taking title as “as joint tenants with rights of survivorship” or “JTWROS” is actually a relatively new thing. If people bought their property before the early 1990’s, there is a good chance that they took title as “TIC” and not as “JTWROS.”</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t>What’s the difference?</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Title held as “JTWROS” provides that the ownership interest of the deceased owner automatically passes to the survivor at the decedent’s death. All that is needed to transfer the property between the decedent and their survivors in this situation is a copy of the decedent’s death certificate. This enables the survivor to convey the property in the survivor’s sole name.</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xml:space="preserve">Title held as “TIC” means that the ownership interest of the deceased owner remains in the estate of the deceased owner. There is no automatic passage of ownership interest. The only way to convey the decedent’s ownership interest is to probate the decedent’s estate.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lastRenderedPageBreak/>
        <w:t>What is Probate?</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Probate is the legal process that takes place after someone dies. It is the process of administering the estate of a deceased person, resolving all claims and settling all debts, and distributing the deceased person's property  including transferring legal title to the decedent's assets and real property held in the decedent's name alone or as</w:t>
      </w:r>
      <w:r w:rsidRPr="00D204ED">
        <w:rPr>
          <w:rFonts w:ascii="Times New Roman" w:eastAsia="Times New Roman" w:hAnsi="Times New Roman" w:cs="Times New Roman"/>
          <w:sz w:val="24"/>
          <w:szCs w:val="24"/>
        </w:rPr>
        <w:t xml:space="preserve"> “TIC” and not as “JTWROS.” </w:t>
      </w:r>
      <w:r w:rsidRPr="00D204ED">
        <w:rPr>
          <w:rFonts w:ascii="Times New Roman" w:eastAsia="Times New Roman" w:hAnsi="Times New Roman" w:cs="Times New Roman"/>
          <w:sz w:val="24"/>
          <w:szCs w:val="24"/>
          <w:shd w:val="clear" w:color="auto" w:fill="FFFFFF"/>
        </w:rPr>
        <w:t xml:space="preserve">If a decedent had a Will, and the decedent had property subject to probate (held title to the property as </w:t>
      </w:r>
      <w:r w:rsidRPr="00D204ED">
        <w:rPr>
          <w:rFonts w:ascii="Times New Roman" w:eastAsia="Times New Roman" w:hAnsi="Times New Roman" w:cs="Times New Roman"/>
          <w:sz w:val="24"/>
          <w:szCs w:val="24"/>
        </w:rPr>
        <w:t xml:space="preserve">“TIC” </w:t>
      </w:r>
      <w:r w:rsidRPr="00D204ED">
        <w:rPr>
          <w:rFonts w:ascii="Times New Roman" w:eastAsia="Times New Roman" w:hAnsi="Times New Roman" w:cs="Times New Roman"/>
          <w:sz w:val="24"/>
          <w:szCs w:val="24"/>
          <w:shd w:val="clear" w:color="auto" w:fill="FFFFFF"/>
        </w:rPr>
        <w:t>or individually), the </w:t>
      </w:r>
      <w:r w:rsidRPr="00D204ED">
        <w:rPr>
          <w:rFonts w:ascii="Times New Roman" w:eastAsia="Times New Roman" w:hAnsi="Times New Roman" w:cs="Times New Roman"/>
          <w:sz w:val="24"/>
          <w:szCs w:val="24"/>
          <w:bdr w:val="none" w:sz="0" w:space="0" w:color="auto" w:frame="1"/>
          <w:shd w:val="clear" w:color="auto" w:fill="FFFFFF"/>
        </w:rPr>
        <w:t>probate process</w:t>
      </w:r>
      <w:r w:rsidRPr="00D204ED">
        <w:rPr>
          <w:rFonts w:ascii="Times New Roman" w:eastAsia="Times New Roman" w:hAnsi="Times New Roman" w:cs="Times New Roman"/>
          <w:b/>
          <w:bCs/>
          <w:sz w:val="24"/>
          <w:szCs w:val="24"/>
          <w:bdr w:val="none" w:sz="0" w:space="0" w:color="auto" w:frame="1"/>
          <w:shd w:val="clear" w:color="auto" w:fill="FFFFFF"/>
        </w:rPr>
        <w:t xml:space="preserve"> </w:t>
      </w:r>
      <w:r w:rsidRPr="00D204ED">
        <w:rPr>
          <w:rFonts w:ascii="Times New Roman" w:eastAsia="Times New Roman" w:hAnsi="Times New Roman" w:cs="Times New Roman"/>
          <w:sz w:val="24"/>
          <w:szCs w:val="24"/>
          <w:shd w:val="clear" w:color="auto" w:fill="FFFFFF"/>
        </w:rPr>
        <w:t>begins when the executor named in the decedent’s Will, presents the Will along with a petition to probate to the Probate Court in the county where the decedent lived, or owned property. If there is no Will, someone must volunteer and ask the court to appoint him or her as administrator of the decedent's estate. Often, this is the spouse or an adult child of the decedent. Once appointed by the court and given what is called “Letters Testamentary” if there was a Will or “Letters of Administration” if there was not, the executor or administrator becomes the legal representative of the estate. This person then has the power and authority to convey the deceased person’s interest in the property.</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shd w:val="clear" w:color="auto" w:fill="FFFFFF"/>
        </w:rPr>
        <w:t>How does this affect the closing?</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shd w:val="clear" w:color="auto" w:fill="FFFFFF"/>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 xml:space="preserve">It depends on whether when or if the probate process has begun. If the probate process has already happened and someone has the authority to sign on behalf of the decedent’s </w:t>
      </w:r>
      <w:proofErr w:type="gramStart"/>
      <w:r w:rsidRPr="00D204ED">
        <w:rPr>
          <w:rFonts w:ascii="Times New Roman" w:eastAsia="Times New Roman" w:hAnsi="Times New Roman" w:cs="Times New Roman"/>
          <w:sz w:val="24"/>
          <w:szCs w:val="24"/>
          <w:shd w:val="clear" w:color="auto" w:fill="FFFFFF"/>
        </w:rPr>
        <w:t>estate ,then</w:t>
      </w:r>
      <w:proofErr w:type="gramEnd"/>
      <w:r w:rsidRPr="00D204ED">
        <w:rPr>
          <w:rFonts w:ascii="Times New Roman" w:eastAsia="Times New Roman" w:hAnsi="Times New Roman" w:cs="Times New Roman"/>
          <w:sz w:val="24"/>
          <w:szCs w:val="24"/>
          <w:shd w:val="clear" w:color="auto" w:fill="FFFFFF"/>
        </w:rPr>
        <w:t xml:space="preserve"> there should be no problem or delay in the closing. If it is discovered that probate is necessary at your listing appointment or even worse after the closing attorney reviews the title, then you will more than likely have a delay in closing. The probate process can take anywhere from 4 weeks to over a year depending on many factors. Just a few of these factors include how long it takes to find a valid Will, the willingness and cooperativeness of the heirs of the decedent, the complexity of the decedent’s estate, and the place in the queue the petition is with the Probate Court.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shd w:val="clear" w:color="auto" w:fill="FFFFFF"/>
        </w:rPr>
        <w:t>How to avoid problems and delays?</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8"/>
          <w:szCs w:val="28"/>
          <w:shd w:val="clear" w:color="auto" w:fill="FFFFFF"/>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The easiest way to avoid last minute problems and minimalize delays is to ask the right questions up front. How was the title held? Is there a deceased owner? Have you or someone been named executor, personal representative or administrator? If not, has the probate process been started? Also, regardless of the answers you get, ask us to check the ownership on the title records just to be sure.</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shd w:val="clear" w:color="auto" w:fill="FFFFFF"/>
        </w:rPr>
        <w:t xml:space="preserve">Author, Collin </w:t>
      </w:r>
      <w:proofErr w:type="spellStart"/>
      <w:r w:rsidRPr="00D204ED">
        <w:rPr>
          <w:rFonts w:ascii="Times New Roman" w:eastAsia="Times New Roman" w:hAnsi="Times New Roman" w:cs="Times New Roman"/>
          <w:sz w:val="24"/>
          <w:szCs w:val="24"/>
          <w:shd w:val="clear" w:color="auto" w:fill="FFFFFF"/>
        </w:rPr>
        <w:t>Gravitt</w:t>
      </w:r>
      <w:proofErr w:type="spellEnd"/>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240" w:line="240" w:lineRule="auto"/>
        <w:rPr>
          <w:rFonts w:ascii="Times New Roman" w:eastAsia="Times New Roman" w:hAnsi="Times New Roman" w:cs="Times New Roman"/>
          <w:sz w:val="24"/>
          <w:szCs w:val="24"/>
        </w:rPr>
      </w:pP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b/>
          <w:bCs/>
          <w:color w:val="333333"/>
          <w:sz w:val="24"/>
          <w:szCs w:val="24"/>
        </w:rPr>
        <w:t>CFPB Announces New Policy to Allow Consumers to Share Complaint Stories</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i/>
          <w:iCs/>
          <w:sz w:val="24"/>
          <w:szCs w:val="24"/>
        </w:rPr>
        <w:t xml:space="preserve">Source: </w:t>
      </w:r>
      <w:hyperlink r:id="rId5" w:tgtFrame="_blank" w:history="1">
        <w:r w:rsidRPr="00D204ED">
          <w:rPr>
            <w:rFonts w:ascii="Times New Roman" w:eastAsia="Times New Roman" w:hAnsi="Times New Roman" w:cs="Times New Roman"/>
            <w:i/>
            <w:iCs/>
            <w:color w:val="0000FF"/>
            <w:sz w:val="24"/>
            <w:szCs w:val="24"/>
            <w:u w:val="single"/>
          </w:rPr>
          <w:t>themreport.com</w:t>
        </w:r>
      </w:hyperlink>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i/>
          <w:iCs/>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i/>
          <w:iCs/>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lastRenderedPageBreak/>
        <w:t xml:space="preserve">Handling consumer complaints is an integral part of the work of the Consumer Financial Protection Bureau (CFPB).    </w:t>
      </w:r>
      <w:hyperlink r:id="rId6" w:tgtFrame="_blank" w:history="1">
        <w:r w:rsidRPr="00D204ED">
          <w:rPr>
            <w:rFonts w:ascii="Times New Roman" w:eastAsia="Times New Roman" w:hAnsi="Times New Roman" w:cs="Times New Roman"/>
            <w:color w:val="0000FF"/>
            <w:sz w:val="24"/>
            <w:szCs w:val="24"/>
            <w:u w:val="single"/>
          </w:rPr>
          <w:t>Read more &gt;&gt;</w:t>
        </w:r>
      </w:hyperlink>
    </w:p>
    <w:p w:rsidR="00D204ED" w:rsidRPr="00D204ED" w:rsidRDefault="00D204ED" w:rsidP="00D204ED">
      <w:pPr>
        <w:spacing w:before="120" w:after="100" w:afterAutospacing="1" w:line="240" w:lineRule="auto"/>
        <w:rPr>
          <w:rFonts w:ascii="Arial" w:eastAsia="Times New Roman" w:hAnsi="Arial" w:cs="Arial"/>
          <w:sz w:val="24"/>
          <w:szCs w:val="24"/>
        </w:rPr>
      </w:pPr>
      <w:r w:rsidRPr="00D204ED">
        <w:rPr>
          <w:rFonts w:ascii="Arial" w:eastAsia="Times New Roman" w:hAnsi="Arial" w:cs="Arial"/>
          <w:sz w:val="24"/>
          <w:szCs w:val="24"/>
        </w:rPr>
        <w:t> </w:t>
      </w:r>
    </w:p>
    <w:p w:rsidR="00D204ED" w:rsidRPr="00D204ED" w:rsidRDefault="00D204ED" w:rsidP="00D204ED">
      <w:pPr>
        <w:spacing w:before="100" w:beforeAutospacing="1" w:after="240" w:line="240" w:lineRule="auto"/>
        <w:rPr>
          <w:rFonts w:ascii="Arial" w:eastAsia="Times New Roman" w:hAnsi="Arial" w:cs="Arial"/>
          <w:sz w:val="24"/>
          <w:szCs w:val="24"/>
        </w:rPr>
      </w:pPr>
    </w:p>
    <w:p w:rsidR="00D204ED" w:rsidRPr="00D204ED" w:rsidRDefault="00D204ED" w:rsidP="00D204ED">
      <w:pPr>
        <w:spacing w:after="24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b/>
          <w:bCs/>
          <w:sz w:val="24"/>
          <w:szCs w:val="24"/>
        </w:rPr>
        <w:t xml:space="preserve">February 2015 Existing Home Sales Up 4.7 Percent </w:t>
      </w:r>
      <w:proofErr w:type="gramStart"/>
      <w:r w:rsidRPr="00D204ED">
        <w:rPr>
          <w:rFonts w:ascii="Times New Roman" w:eastAsia="Times New Roman" w:hAnsi="Times New Roman" w:cs="Times New Roman"/>
          <w:b/>
          <w:bCs/>
          <w:sz w:val="24"/>
          <w:szCs w:val="24"/>
        </w:rPr>
        <w:t>From</w:t>
      </w:r>
      <w:proofErr w:type="gramEnd"/>
      <w:r w:rsidRPr="00D204ED">
        <w:rPr>
          <w:rFonts w:ascii="Times New Roman" w:eastAsia="Times New Roman" w:hAnsi="Times New Roman" w:cs="Times New Roman"/>
          <w:b/>
          <w:bCs/>
          <w:sz w:val="24"/>
          <w:szCs w:val="24"/>
        </w:rPr>
        <w:t xml:space="preserve"> a Year Ago</w:t>
      </w:r>
    </w:p>
    <w:p w:rsidR="00D204ED" w:rsidRPr="00D204ED" w:rsidRDefault="00D204ED" w:rsidP="00D204ED">
      <w:pPr>
        <w:spacing w:after="24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i/>
          <w:iCs/>
          <w:sz w:val="24"/>
          <w:szCs w:val="24"/>
        </w:rPr>
        <w:t>Source: Ted C. Jones</w:t>
      </w:r>
    </w:p>
    <w:p w:rsidR="00D204ED" w:rsidRPr="00D204ED" w:rsidRDefault="00D204ED" w:rsidP="00D204ED">
      <w:pPr>
        <w:spacing w:after="240" w:line="240" w:lineRule="auto"/>
        <w:rPr>
          <w:rFonts w:ascii="HelveticaNeueETW01-55Rg" w:eastAsia="Times New Roman" w:hAnsi="HelveticaNeueETW01-55Rg" w:cs="Times New Roman"/>
          <w:color w:val="444444"/>
          <w:sz w:val="21"/>
          <w:szCs w:val="21"/>
        </w:rPr>
      </w:pPr>
    </w:p>
    <w:p w:rsidR="00D204ED" w:rsidRPr="00D204ED" w:rsidRDefault="00D204ED" w:rsidP="00D204ED">
      <w:pPr>
        <w:spacing w:after="24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i/>
          <w:iCs/>
          <w:sz w:val="24"/>
          <w:szCs w:val="24"/>
        </w:rPr>
        <w:t> </w:t>
      </w:r>
    </w:p>
    <w:p w:rsidR="00D204ED" w:rsidRPr="00D204ED" w:rsidRDefault="00D204ED" w:rsidP="00D204ED">
      <w:pPr>
        <w:spacing w:before="100" w:beforeAutospacing="1" w:after="100" w:afterAutospacing="1" w:line="240" w:lineRule="auto"/>
        <w:rPr>
          <w:rFonts w:ascii="Arial" w:eastAsia="Times New Roman" w:hAnsi="Arial" w:cs="Arial"/>
          <w:sz w:val="24"/>
          <w:szCs w:val="24"/>
        </w:rPr>
      </w:pPr>
      <w:r w:rsidRPr="00D204ED">
        <w:rPr>
          <w:rFonts w:ascii="Calibri" w:eastAsia="Times New Roman" w:hAnsi="Calibri" w:cs="Arial"/>
        </w:rPr>
        <w:t xml:space="preserve">February 2015 existing housing sales increased 4.7 percent from a year ago, on pace to a seasonally adjusted annualized rate (SAAR) of 4.88 million according to the National Association of Realtors®.  </w:t>
      </w:r>
      <w:hyperlink r:id="rId7" w:tgtFrame="_blank" w:history="1">
        <w:r w:rsidRPr="00D204ED">
          <w:rPr>
            <w:rFonts w:ascii="Calibri" w:eastAsia="Times New Roman" w:hAnsi="Calibri" w:cs="Arial"/>
            <w:color w:val="0000FF"/>
            <w:u w:val="single"/>
          </w:rPr>
          <w:t>Read more &gt;&gt;</w:t>
        </w:r>
      </w:hyperlink>
    </w:p>
    <w:p w:rsidR="00D204ED" w:rsidRPr="00D204ED" w:rsidRDefault="00D204ED" w:rsidP="00D204ED">
      <w:pPr>
        <w:spacing w:before="120" w:after="100" w:afterAutospacing="1" w:line="240" w:lineRule="auto"/>
        <w:rPr>
          <w:rFonts w:ascii="Arial" w:eastAsia="Times New Roman" w:hAnsi="Arial" w:cs="Arial"/>
          <w:sz w:val="24"/>
          <w:szCs w:val="24"/>
        </w:rPr>
      </w:pPr>
      <w:r w:rsidRPr="00D204ED">
        <w:rPr>
          <w:rFonts w:ascii="Arial" w:eastAsia="Times New Roman" w:hAnsi="Arial" w:cs="Arial"/>
          <w:sz w:val="24"/>
          <w:szCs w:val="24"/>
        </w:rPr>
        <w:t> </w:t>
      </w:r>
    </w:p>
    <w:p w:rsidR="00D204ED" w:rsidRPr="00D204ED" w:rsidRDefault="00D204ED" w:rsidP="00D204ED">
      <w:pPr>
        <w:spacing w:after="0" w:line="240" w:lineRule="auto"/>
        <w:rPr>
          <w:rFonts w:ascii="Times New Roman" w:eastAsia="Times New Roman" w:hAnsi="Times New Roman" w:cs="Times New Roman"/>
          <w:sz w:val="24"/>
          <w:szCs w:val="24"/>
        </w:rPr>
      </w:pPr>
    </w:p>
    <w:p w:rsidR="00D204ED" w:rsidRPr="00D204ED" w:rsidRDefault="00D204ED" w:rsidP="00D204ED">
      <w:pPr>
        <w:spacing w:after="0" w:line="240" w:lineRule="auto"/>
        <w:rPr>
          <w:rFonts w:ascii="Times New Roman" w:eastAsia="Times New Roman" w:hAnsi="Times New Roman" w:cs="Times New Roman"/>
          <w:sz w:val="24"/>
          <w:szCs w:val="24"/>
        </w:rPr>
      </w:pPr>
      <w:r w:rsidRPr="00D204ED">
        <w:rPr>
          <w:rFonts w:ascii="Times New Roman" w:eastAsia="Times New Roman" w:hAnsi="Times New Roman" w:cs="Times New Roman"/>
          <w:sz w:val="24"/>
          <w:szCs w:val="24"/>
        </w:rPr>
        <w:t> </w:t>
      </w:r>
    </w:p>
    <w:p w:rsidR="00D204ED" w:rsidRPr="00D204ED" w:rsidRDefault="00D204ED" w:rsidP="00D204ED">
      <w:pPr>
        <w:spacing w:before="100" w:beforeAutospacing="1" w:after="240" w:line="240" w:lineRule="auto"/>
        <w:rPr>
          <w:rFonts w:ascii="Arial" w:eastAsia="Times New Roman" w:hAnsi="Arial" w:cs="Arial"/>
          <w:sz w:val="24"/>
          <w:szCs w:val="24"/>
        </w:rPr>
      </w:pPr>
      <w:r w:rsidRPr="00D204ED">
        <w:rPr>
          <w:rFonts w:ascii="Arial" w:eastAsia="Times New Roman" w:hAnsi="Arial" w:cs="Arial"/>
          <w:b/>
          <w:bCs/>
          <w:sz w:val="24"/>
          <w:szCs w:val="24"/>
        </w:rPr>
        <w:t xml:space="preserve">CFPB Will Not Extend New Mortgage Disclosure Deadline </w:t>
      </w:r>
    </w:p>
    <w:p w:rsidR="00D204ED" w:rsidRPr="00D204ED" w:rsidRDefault="00D204ED" w:rsidP="00D204ED">
      <w:pPr>
        <w:spacing w:before="100" w:beforeAutospacing="1" w:after="240" w:line="240" w:lineRule="auto"/>
        <w:rPr>
          <w:rFonts w:ascii="Arial" w:eastAsia="Times New Roman" w:hAnsi="Arial" w:cs="Arial"/>
          <w:sz w:val="24"/>
          <w:szCs w:val="24"/>
        </w:rPr>
      </w:pPr>
      <w:r w:rsidRPr="00D204ED">
        <w:rPr>
          <w:rFonts w:ascii="Arial" w:eastAsia="Times New Roman" w:hAnsi="Arial" w:cs="Arial"/>
          <w:b/>
          <w:bCs/>
          <w:sz w:val="24"/>
          <w:szCs w:val="24"/>
        </w:rPr>
        <w:t> </w:t>
      </w:r>
    </w:p>
    <w:p w:rsidR="00D204ED" w:rsidRPr="00D204ED" w:rsidRDefault="00D204ED" w:rsidP="00D204ED">
      <w:pPr>
        <w:spacing w:before="100" w:beforeAutospacing="1" w:after="240" w:line="240" w:lineRule="auto"/>
        <w:rPr>
          <w:rFonts w:ascii="Arial" w:eastAsia="Times New Roman" w:hAnsi="Arial" w:cs="Arial"/>
          <w:sz w:val="24"/>
          <w:szCs w:val="24"/>
        </w:rPr>
      </w:pPr>
      <w:r w:rsidRPr="00D204ED">
        <w:rPr>
          <w:rFonts w:ascii="Arial" w:eastAsia="Times New Roman" w:hAnsi="Arial" w:cs="Arial"/>
          <w:i/>
          <w:iCs/>
          <w:sz w:val="24"/>
          <w:szCs w:val="24"/>
        </w:rPr>
        <w:t xml:space="preserve">Source: </w:t>
      </w:r>
      <w:hyperlink r:id="rId8" w:tgtFrame="_blank" w:history="1">
        <w:r w:rsidRPr="00D204ED">
          <w:rPr>
            <w:rFonts w:ascii="Arial" w:eastAsia="Times New Roman" w:hAnsi="Arial" w:cs="Arial"/>
            <w:i/>
            <w:iCs/>
            <w:color w:val="0000FF"/>
            <w:sz w:val="24"/>
            <w:szCs w:val="24"/>
            <w:u w:val="single"/>
          </w:rPr>
          <w:t>themreport.com</w:t>
        </w:r>
      </w:hyperlink>
    </w:p>
    <w:p w:rsidR="00D204ED" w:rsidRPr="00D204ED" w:rsidRDefault="00D204ED" w:rsidP="00D204ED">
      <w:pPr>
        <w:spacing w:before="100" w:beforeAutospacing="1" w:after="240" w:line="240" w:lineRule="auto"/>
        <w:rPr>
          <w:rFonts w:ascii="Arial" w:eastAsia="Times New Roman" w:hAnsi="Arial" w:cs="Arial"/>
          <w:sz w:val="24"/>
          <w:szCs w:val="24"/>
        </w:rPr>
      </w:pPr>
      <w:r w:rsidRPr="00D204ED">
        <w:rPr>
          <w:rFonts w:ascii="Arial" w:eastAsia="Times New Roman" w:hAnsi="Arial" w:cs="Arial"/>
          <w:i/>
          <w:iCs/>
          <w:sz w:val="24"/>
          <w:szCs w:val="24"/>
        </w:rPr>
        <w:t> </w:t>
      </w:r>
    </w:p>
    <w:p w:rsidR="00D204ED" w:rsidRPr="00D204ED" w:rsidRDefault="00D204ED" w:rsidP="00D204ED">
      <w:pPr>
        <w:spacing w:before="100" w:beforeAutospacing="1" w:after="240" w:line="240" w:lineRule="auto"/>
        <w:rPr>
          <w:rFonts w:ascii="Arial" w:eastAsia="Times New Roman" w:hAnsi="Arial" w:cs="Arial"/>
          <w:sz w:val="24"/>
          <w:szCs w:val="24"/>
        </w:rPr>
      </w:pPr>
      <w:r w:rsidRPr="00D204ED">
        <w:rPr>
          <w:rFonts w:ascii="Arial" w:eastAsia="Times New Roman" w:hAnsi="Arial" w:cs="Arial"/>
          <w:sz w:val="24"/>
          <w:szCs w:val="24"/>
        </w:rPr>
        <w:t xml:space="preserve">Consumer Financial Protection Bureau Deputy Director Steven </w:t>
      </w:r>
      <w:proofErr w:type="spellStart"/>
      <w:r w:rsidRPr="00D204ED">
        <w:rPr>
          <w:rFonts w:ascii="Arial" w:eastAsia="Times New Roman" w:hAnsi="Arial" w:cs="Arial"/>
          <w:sz w:val="24"/>
          <w:szCs w:val="24"/>
        </w:rPr>
        <w:t>Antonakes</w:t>
      </w:r>
      <w:proofErr w:type="spellEnd"/>
      <w:r w:rsidRPr="00D204ED">
        <w:rPr>
          <w:rFonts w:ascii="Arial" w:eastAsia="Times New Roman" w:hAnsi="Arial" w:cs="Arial"/>
          <w:sz w:val="24"/>
          <w:szCs w:val="24"/>
        </w:rPr>
        <w:t xml:space="preserve"> hinted at possibly extending the </w:t>
      </w:r>
      <w:r w:rsidRPr="00D204ED">
        <w:rPr>
          <w:rFonts w:ascii="Arial" w:eastAsia="Times New Roman" w:hAnsi="Arial" w:cs="Arial"/>
          <w:color w:val="222222"/>
          <w:sz w:val="24"/>
          <w:szCs w:val="24"/>
        </w:rPr>
        <w:t>August 1</w:t>
      </w:r>
      <w:r w:rsidRPr="00D204ED">
        <w:rPr>
          <w:rFonts w:ascii="Arial" w:eastAsia="Times New Roman" w:hAnsi="Arial" w:cs="Arial"/>
          <w:sz w:val="24"/>
          <w:szCs w:val="24"/>
        </w:rPr>
        <w:t xml:space="preserve"> implementation deadline for new mortgage disclosure if vendors weren't ready, in a speech he gave today, sending industry talks into frenzy. </w:t>
      </w:r>
      <w:hyperlink r:id="rId9" w:tgtFrame="_blank" w:history="1">
        <w:r w:rsidRPr="00D204ED">
          <w:rPr>
            <w:rFonts w:ascii="Arial" w:eastAsia="Times New Roman" w:hAnsi="Arial" w:cs="Arial"/>
            <w:color w:val="0000FF"/>
            <w:sz w:val="24"/>
            <w:szCs w:val="24"/>
            <w:u w:val="single"/>
          </w:rPr>
          <w:t>Read more &gt;&gt;</w:t>
        </w:r>
      </w:hyperlink>
    </w:p>
    <w:p w:rsidR="00033F93" w:rsidRDefault="00033F93">
      <w:bookmarkStart w:id="0" w:name="_GoBack"/>
      <w:bookmarkEnd w:id="0"/>
    </w:p>
    <w:sectPr w:rsidR="0003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ETW01-55R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ED"/>
    <w:rsid w:val="00033F93"/>
    <w:rsid w:val="00D2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report.com/" TargetMode="External"/><Relationship Id="rId3" Type="http://schemas.openxmlformats.org/officeDocument/2006/relationships/settings" Target="settings.xml"/><Relationship Id="rId7" Type="http://schemas.openxmlformats.org/officeDocument/2006/relationships/hyperlink" Target="http://blog.stewart.com/stewart/2015/03/25/february-2015-existing-home-sales-up-4-7-percent-from-a-year-ago-median-price-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mreport.com/headline/03-19-2015/cfpb-announces-new-policy-to-allow-consumers-to-share-complaint-stories" TargetMode="External"/><Relationship Id="rId11" Type="http://schemas.openxmlformats.org/officeDocument/2006/relationships/theme" Target="theme/theme1.xml"/><Relationship Id="rId5" Type="http://schemas.openxmlformats.org/officeDocument/2006/relationships/hyperlink" Target="http://themrepo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mreport.com/news/government/03-25-2015/cfpb-will-not-extend-new-mortgage-disclosure-dead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2015-04-29T15:18:00Z</dcterms:created>
  <dcterms:modified xsi:type="dcterms:W3CDTF">2015-04-29T15:18:00Z</dcterms:modified>
</cp:coreProperties>
</file>